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 w:val="false"/>
        <w:suppressAutoHyphens w:val="true"/>
        <w:bidi w:val="0"/>
        <w:spacing w:lineRule="exact" w:line="240" w:before="0" w:after="0"/>
        <w:ind w:left="0" w:right="0" w:hanging="0"/>
        <w:jc w:val="center"/>
        <w:rPr/>
      </w:pPr>
      <w:r>
        <w:rPr>
          <w:rFonts w:eastAsia="Times New Roman" w:cs="Times New Roman" w:ascii="PT Astra Serif" w:hAnsi="PT Astra Serif"/>
          <w:b/>
          <w:color w:val="000000"/>
          <w:spacing w:val="0"/>
          <w:sz w:val="28"/>
          <w:szCs w:val="28"/>
        </w:rPr>
        <w:t>Результаты служебной деятельности ЦЛРР в области оборота оружия за 1</w:t>
      </w:r>
      <w:r>
        <w:rPr>
          <w:rFonts w:eastAsia="Times New Roman" w:cs="Times New Roman" w:ascii="PT Astra Serif" w:hAnsi="PT Astra Serif"/>
          <w:b/>
          <w:color w:val="000000"/>
          <w:spacing w:val="0"/>
          <w:sz w:val="28"/>
          <w:szCs w:val="28"/>
        </w:rPr>
        <w:t>2</w:t>
      </w:r>
      <w:r>
        <w:rPr>
          <w:rFonts w:eastAsia="Times New Roman" w:cs="Times New Roman" w:ascii="PT Astra Serif" w:hAnsi="PT Astra Serif"/>
          <w:b/>
          <w:color w:val="000000"/>
          <w:spacing w:val="0"/>
          <w:sz w:val="28"/>
          <w:szCs w:val="28"/>
        </w:rPr>
        <w:t xml:space="preserve"> </w:t>
      </w:r>
      <w:r>
        <w:rPr>
          <w:rFonts w:eastAsia="Times New Roman" w:cs="Times New Roman" w:ascii="PT Astra Serif" w:hAnsi="PT Astra Serif"/>
          <w:b/>
          <w:color w:val="000000"/>
          <w:spacing w:val="0"/>
          <w:kern w:val="2"/>
          <w:sz w:val="28"/>
          <w:szCs w:val="28"/>
          <w:lang w:val="ru-RU" w:eastAsia="zh-CN" w:bidi="hi-IN"/>
        </w:rPr>
        <w:t>месяцев</w:t>
      </w:r>
      <w:r>
        <w:rPr>
          <w:rFonts w:eastAsia="Times New Roman" w:cs="Times New Roman" w:ascii="PT Astra Serif" w:hAnsi="PT Astra Serif"/>
          <w:b/>
          <w:color w:val="000000"/>
          <w:spacing w:val="0"/>
          <w:sz w:val="28"/>
          <w:szCs w:val="28"/>
        </w:rPr>
        <w:t xml:space="preserve"> 2025 года</w:t>
      </w:r>
    </w:p>
    <w:p>
      <w:pPr>
        <w:pStyle w:val="Normal"/>
        <w:widowControl w:val="false"/>
        <w:suppressAutoHyphens w:val="true"/>
        <w:bidi w:val="0"/>
        <w:spacing w:lineRule="exact" w:line="240" w:before="0" w:after="0"/>
        <w:ind w:left="0" w:right="0" w:hanging="0"/>
        <w:jc w:val="center"/>
        <w:rPr>
          <w:rFonts w:ascii="PT Astra Serif" w:hAnsi="PT Astra Serif" w:eastAsia="Times New Roman" w:cs="Times New Roman"/>
          <w:b/>
          <w:b/>
          <w:color w:val="000000"/>
          <w:spacing w:val="0"/>
          <w:sz w:val="28"/>
          <w:szCs w:val="28"/>
        </w:rPr>
      </w:pPr>
      <w:r>
        <w:rPr>
          <w:rFonts w:eastAsia="Times New Roman" w:cs="Times New Roman" w:ascii="PT Astra Serif" w:hAnsi="PT Astra Serif"/>
          <w:b/>
          <w:color w:val="000000"/>
          <w:spacing w:val="0"/>
          <w:sz w:val="28"/>
          <w:szCs w:val="28"/>
        </w:rPr>
      </w:r>
    </w:p>
    <w:p>
      <w:pPr>
        <w:pStyle w:val="Normal"/>
        <w:widowControl w:val="false"/>
        <w:suppressAutoHyphens w:val="true"/>
        <w:bidi w:val="0"/>
        <w:spacing w:lineRule="exact" w:line="240" w:before="0" w:after="0"/>
        <w:ind w:left="0" w:right="0" w:hanging="0"/>
        <w:jc w:val="center"/>
        <w:rPr>
          <w:rFonts w:ascii="PT Astra Serif" w:hAnsi="PT Astra Serif" w:eastAsia="Times New Roman" w:cs="Times New Roman"/>
          <w:b/>
          <w:b/>
          <w:color w:val="000000"/>
          <w:spacing w:val="0"/>
          <w:sz w:val="28"/>
          <w:szCs w:val="28"/>
        </w:rPr>
      </w:pPr>
      <w:r>
        <w:rPr>
          <w:rFonts w:eastAsia="Times New Roman" w:cs="Times New Roman" w:ascii="PT Astra Serif" w:hAnsi="PT Astra Serif"/>
          <w:b/>
          <w:color w:val="000000"/>
          <w:spacing w:val="0"/>
          <w:sz w:val="28"/>
          <w:szCs w:val="28"/>
        </w:rPr>
      </w:r>
    </w:p>
    <w:p>
      <w:pPr>
        <w:pStyle w:val="Normal"/>
        <w:widowControl w:val="false"/>
        <w:suppressAutoHyphens w:val="true"/>
        <w:bidi w:val="0"/>
        <w:spacing w:lineRule="atLeast" w:line="11" w:before="0" w:after="0"/>
        <w:ind w:left="0" w:right="0" w:hanging="0"/>
        <w:contextualSpacing/>
        <w:jc w:val="both"/>
        <w:rPr/>
      </w:pP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ab/>
        <w:t xml:space="preserve"> </w:t>
      </w:r>
      <w:r>
        <w:rPr>
          <w:rFonts w:eastAsia="Times New Roman" w:cs="Times New Roman" w:ascii="PT Astra Serif" w:hAnsi="PT Astra Serif"/>
          <w:color w:val="000000"/>
          <w:spacing w:val="-6"/>
          <w:sz w:val="28"/>
          <w:szCs w:val="28"/>
        </w:rPr>
        <w:t xml:space="preserve">На учете в подразделениях лицензионно - разрешительной работы Управления состоит более 14 тысяч владельцев, получивших разрешение на хранение и ношение оружия, в пользовании которых находится более 29 000 единиц оружия. 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 xml:space="preserve">В рамках государственного контроля за оборотом оружия, находящегося на законных основаниях у его владельцев, </w:t>
      </w:r>
      <w:r>
        <w:rPr>
          <w:rFonts w:eastAsia="Times New Roman" w:cs="Times New Roman" w:ascii="PT Astra Serif" w:hAnsi="PT Astra Serif"/>
          <w:color w:val="000000"/>
          <w:spacing w:val="0"/>
          <w:kern w:val="2"/>
          <w:sz w:val="28"/>
          <w:szCs w:val="28"/>
          <w:lang w:val="ru-RU" w:eastAsia="zh-CN" w:bidi="hi-IN"/>
        </w:rPr>
        <w:t>за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 xml:space="preserve"> 2025 го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>д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 xml:space="preserve"> сотрудниками ЛРР Росгвардии совместно с сотрудниками МВД по Новгородской области осуществлено 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>3315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 xml:space="preserve"> проверок соблюдения гражданами правил хранения оружия по месту их жительства. </w:t>
      </w:r>
    </w:p>
    <w:p>
      <w:pPr>
        <w:pStyle w:val="Normal"/>
        <w:widowControl w:val="false"/>
        <w:suppressAutoHyphens w:val="true"/>
        <w:bidi w:val="0"/>
        <w:spacing w:lineRule="atLeast" w:line="11" w:before="0" w:after="0"/>
        <w:ind w:left="0" w:right="0" w:hanging="0"/>
        <w:contextualSpacing/>
        <w:jc w:val="both"/>
        <w:rPr>
          <w:rFonts w:ascii="PT Astra Serif" w:hAnsi="PT Astra Serif" w:eastAsia="Times New Roman" w:cs="Times New Roman"/>
          <w:color w:val="000000"/>
          <w:spacing w:val="0"/>
          <w:sz w:val="28"/>
          <w:szCs w:val="28"/>
        </w:rPr>
      </w:pP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ab/>
        <w:t xml:space="preserve">По результатам проведенных проверок обеспечения сохранности оружия у граждан за допущенные нарушения в сфере его оборота к административной ответственности привлечено 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>333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 xml:space="preserve"> гражданин. Наибольшее количество выявленных правонарушений - 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>256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 xml:space="preserve"> связано с нарушением сроков подачи заявлений о продлении разрешений на хранение и ношение оружия, ответственность за данное правонарушение предусмотрена статьей 20.11 КоАП РФ. </w:t>
      </w:r>
    </w:p>
    <w:p>
      <w:pPr>
        <w:pStyle w:val="Normal"/>
        <w:widowControl w:val="false"/>
        <w:suppressAutoHyphens w:val="true"/>
        <w:bidi w:val="0"/>
        <w:spacing w:lineRule="atLeast" w:line="11" w:before="0" w:after="0"/>
        <w:ind w:left="0" w:right="0" w:hanging="0"/>
        <w:contextualSpacing/>
        <w:jc w:val="both"/>
        <w:rPr>
          <w:rFonts w:ascii="PT Astra Serif" w:hAnsi="PT Astra Serif" w:eastAsia="Times New Roman" w:cs="Times New Roman"/>
          <w:color w:val="000000"/>
          <w:spacing w:val="0"/>
          <w:sz w:val="28"/>
          <w:szCs w:val="28"/>
        </w:rPr>
      </w:pP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ab/>
        <w:t xml:space="preserve">По различным основаниям у физических лиц аннулировано 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>258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 xml:space="preserve"> разрешительных документов на оружие, изъято 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>578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 xml:space="preserve"> единицы огнестрельного оружия. Гражданами добровольно сдано 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>634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 xml:space="preserve"> единицы оружия. </w:t>
      </w:r>
    </w:p>
    <w:p>
      <w:pPr>
        <w:pStyle w:val="Normal"/>
        <w:bidi w:val="0"/>
        <w:spacing w:lineRule="atLeast" w:line="11" w:before="0" w:after="0"/>
        <w:ind w:left="0" w:right="0" w:hanging="0"/>
        <w:contextualSpacing/>
        <w:jc w:val="both"/>
        <w:rPr/>
      </w:pPr>
      <w:r>
        <w:rPr>
          <w:rFonts w:ascii="PT Astra Serif" w:hAnsi="PT Astra Serif"/>
          <w:color w:val="000000"/>
          <w:sz w:val="28"/>
          <w:szCs w:val="28"/>
        </w:rPr>
        <w:t>Под контролем подразделений лицензионно-разрешительной работы Управления состоит 31 частная охранная организация</w:t>
      </w:r>
      <w:r>
        <w:rPr>
          <w:rStyle w:val="Style14"/>
          <w:rFonts w:ascii="PT Astra Serif" w:hAnsi="PT Astra Serif"/>
          <w:color w:val="000000"/>
          <w:sz w:val="28"/>
          <w:szCs w:val="28"/>
          <w:vertAlign w:val="superscript"/>
        </w:rPr>
        <w:footnoteReference w:id="2"/>
      </w:r>
      <w:r>
        <w:rPr>
          <w:rFonts w:ascii="PT Astra Serif" w:hAnsi="PT Astra Serif"/>
          <w:color w:val="000000"/>
          <w:sz w:val="28"/>
          <w:szCs w:val="28"/>
        </w:rPr>
        <w:t>, из них 18 используют в своей уставной деятельности служебное оружие,</w:t>
      </w:r>
      <w:r>
        <w:rPr>
          <w:rFonts w:ascii="PT Astra Serif" w:hAnsi="PT Astra Serif"/>
          <w:b/>
          <w:bCs/>
          <w:i/>
          <w:iCs/>
          <w:color w:val="000000"/>
          <w:sz w:val="28"/>
          <w:szCs w:val="28"/>
        </w:rPr>
        <w:t xml:space="preserve"> </w:t>
      </w:r>
      <w:r>
        <w:rPr>
          <w:rFonts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</w:rPr>
        <w:t xml:space="preserve">которым выдано 18 </w:t>
      </w:r>
      <w:r>
        <w:rPr>
          <w:rFonts w:ascii="PT Astra Serif" w:hAnsi="PT Astra Serif"/>
          <w:b w:val="false"/>
          <w:bCs w:val="false"/>
          <w:i w:val="false"/>
          <w:iCs w:val="false"/>
          <w:color w:val="auto"/>
          <w:sz w:val="28"/>
          <w:szCs w:val="28"/>
        </w:rPr>
        <w:t>разрешений на хранение и использование оружия и патронов к нему.</w:t>
      </w:r>
    </w:p>
    <w:p>
      <w:pPr>
        <w:pStyle w:val="Style24"/>
        <w:bidi w:val="0"/>
        <w:spacing w:lineRule="atLeast" w:line="11" w:before="0" w:after="0"/>
        <w:ind w:left="0" w:right="0" w:hanging="0"/>
        <w:contextualSpacing/>
        <w:rPr>
          <w:rFonts w:ascii="PT Astra Serif" w:hAnsi="PT Astra Serif"/>
          <w:i w:val="false"/>
          <w:i w:val="false"/>
          <w:iCs w:val="false"/>
          <w:color w:val="auto"/>
        </w:rPr>
      </w:pPr>
      <w:r>
        <w:rPr>
          <w:rFonts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u w:val="none"/>
        </w:rPr>
        <w:t xml:space="preserve">В соответствии с разработанным алгоритмом сотрудниками ОЛРР Управления Росгвардии по Новгородской области на розыскной учет по форме П-1 выставлено </w:t>
      </w:r>
      <w:r>
        <w:rPr>
          <w:rFonts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u w:val="none"/>
        </w:rPr>
        <w:t>2</w:t>
      </w:r>
      <w:r>
        <w:rPr>
          <w:rFonts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u w:val="none"/>
        </w:rPr>
        <w:t xml:space="preserve">74 </w:t>
      </w:r>
      <w:r>
        <w:rPr>
          <w:rFonts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u w:val="none"/>
        </w:rPr>
        <w:t>единиц</w:t>
      </w:r>
      <w:r>
        <w:rPr>
          <w:rFonts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u w:val="none"/>
        </w:rPr>
        <w:t>ы</w:t>
      </w:r>
      <w:r>
        <w:rPr>
          <w:rFonts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u w:val="none"/>
        </w:rPr>
        <w:t xml:space="preserve"> оружия, принадлежащего гражданам, местонахождение которых не установлено, срок действия разрешительных документов истек. Из них установлено </w:t>
      </w:r>
      <w:r>
        <w:rPr>
          <w:rFonts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u w:val="none"/>
        </w:rPr>
        <w:t>204</w:t>
      </w:r>
      <w:r>
        <w:rPr>
          <w:rFonts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u w:val="none"/>
        </w:rPr>
        <w:t xml:space="preserve"> единиц</w:t>
      </w:r>
      <w:r>
        <w:rPr>
          <w:rFonts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u w:val="none"/>
        </w:rPr>
        <w:t>ы</w:t>
      </w:r>
      <w:r>
        <w:rPr>
          <w:rFonts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u w:val="none"/>
        </w:rPr>
        <w:t xml:space="preserve">, владельцы </w:t>
      </w:r>
      <w:r>
        <w:rPr>
          <w:rFonts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u w:val="none"/>
        </w:rPr>
        <w:t>24</w:t>
      </w:r>
      <w:r>
        <w:rPr>
          <w:rFonts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u w:val="none"/>
        </w:rPr>
        <w:t xml:space="preserve"> единиц</w:t>
      </w:r>
      <w:r>
        <w:rPr>
          <w:rFonts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u w:val="none"/>
        </w:rPr>
        <w:t>ы</w:t>
      </w:r>
      <w:r>
        <w:rPr>
          <w:rFonts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u w:val="none"/>
        </w:rPr>
        <w:t xml:space="preserve"> оружия находятся на СВО.</w:t>
      </w:r>
    </w:p>
    <w:p>
      <w:pPr>
        <w:pStyle w:val="Normal"/>
        <w:bidi w:val="0"/>
        <w:spacing w:lineRule="atLeast" w:line="11" w:before="0" w:after="0"/>
        <w:ind w:left="0" w:right="0" w:hanging="0"/>
        <w:contextualSpacing/>
        <w:jc w:val="both"/>
        <w:rPr/>
      </w:pPr>
      <w:r>
        <w:rPr>
          <w:rFonts w:ascii="PT Astra Serif" w:hAnsi="PT Astra Serif"/>
          <w:b w:val="false"/>
          <w:bCs w:val="false"/>
          <w:color w:val="000000"/>
          <w:sz w:val="28"/>
          <w:szCs w:val="28"/>
          <w:u w:val="none"/>
        </w:rPr>
        <w:t>В рамках реализации п</w:t>
      </w:r>
      <w:r>
        <w:rPr>
          <w:rFonts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</w:rPr>
        <w:t xml:space="preserve">олномочий по проведению контрольных и профилактических мероприятий в текущем году </w:t>
      </w:r>
      <w:r>
        <w:rPr>
          <w:rFonts w:ascii="PT Astra Serif" w:hAnsi="PT Astra Serif"/>
          <w:b w:val="false"/>
          <w:bCs w:val="false"/>
          <w:i w:val="false"/>
          <w:iCs w:val="false"/>
          <w:caps w:val="false"/>
          <w:smallCaps w:val="false"/>
          <w:color w:val="000000"/>
          <w:sz w:val="28"/>
          <w:szCs w:val="28"/>
          <w:u w:val="none"/>
        </w:rPr>
        <w:t>о</w:t>
      </w:r>
      <w:r>
        <w:rPr>
          <w:rFonts w:ascii="PT Astra Serif" w:hAnsi="PT Astra Serif"/>
          <w:b w:val="false"/>
          <w:bCs w:val="false"/>
          <w:color w:val="000000"/>
          <w:sz w:val="28"/>
          <w:szCs w:val="28"/>
          <w:u w:val="none"/>
        </w:rPr>
        <w:t>беспеч</w:t>
      </w:r>
      <w:r>
        <w:rPr>
          <w:rFonts w:ascii="PT Astra Serif" w:hAnsi="PT Astra Serif"/>
          <w:b w:val="false"/>
          <w:bCs w:val="false"/>
          <w:i w:val="false"/>
          <w:iCs w:val="false"/>
          <w:caps w:val="false"/>
          <w:smallCaps w:val="false"/>
          <w:color w:val="000000"/>
          <w:sz w:val="28"/>
          <w:szCs w:val="28"/>
          <w:u w:val="none"/>
        </w:rPr>
        <w:t>ено</w:t>
      </w:r>
      <w:r>
        <w:rPr>
          <w:rFonts w:ascii="PT Astra Serif" w:hAnsi="PT Astra Serif"/>
          <w:b w:val="false"/>
          <w:bCs w:val="false"/>
          <w:color w:val="000000"/>
          <w:sz w:val="28"/>
          <w:szCs w:val="28"/>
          <w:u w:val="none"/>
        </w:rPr>
        <w:t xml:space="preserve"> проведение комплекса мероприятий, направленных на повышение эффективности мер по обеспечению контроля за соблюдением гражданами правил хранения оружия и патронов, в том числе ограничения доступа несовершеннолетних к местам их хранения. </w:t>
      </w:r>
    </w:p>
    <w:p>
      <w:pPr>
        <w:pStyle w:val="Normal"/>
        <w:bidi w:val="0"/>
        <w:spacing w:lineRule="atLeast" w:line="11" w:before="0" w:after="0"/>
        <w:ind w:left="0" w:right="0" w:hanging="0"/>
        <w:contextualSpacing/>
        <w:jc w:val="both"/>
        <w:rPr/>
      </w:pPr>
      <w:r>
        <w:rPr>
          <w:rFonts w:ascii="PT Astra Serif" w:hAnsi="PT Astra Serif"/>
          <w:b w:val="false"/>
          <w:bCs w:val="false"/>
          <w:color w:val="000000"/>
          <w:sz w:val="28"/>
          <w:szCs w:val="28"/>
          <w:u w:val="none"/>
        </w:rPr>
        <w:t xml:space="preserve">В рамках оказания государственных услуг и проведения контрольных функций с гражданами - владельцами оружия, совместно проживающими с несовершеннолетними лицами, осуществлено </w:t>
      </w:r>
      <w:r>
        <w:rPr>
          <w:rFonts w:ascii="PT Astra Serif" w:hAnsi="PT Astra Serif"/>
          <w:b w:val="false"/>
          <w:bCs w:val="false"/>
          <w:color w:val="000000"/>
          <w:sz w:val="28"/>
          <w:szCs w:val="28"/>
          <w:u w:val="none"/>
        </w:rPr>
        <w:t>2003</w:t>
      </w:r>
      <w:r>
        <w:rPr>
          <w:rFonts w:ascii="PT Astra Serif" w:hAnsi="PT Astra Serif"/>
          <w:b w:val="false"/>
          <w:bCs w:val="false"/>
          <w:color w:val="000000"/>
          <w:sz w:val="28"/>
          <w:szCs w:val="28"/>
          <w:u w:val="none"/>
        </w:rPr>
        <w:t xml:space="preserve"> инструктивных бесед, направленных на </w:t>
      </w:r>
      <w:r>
        <w:rPr>
          <w:rFonts w:ascii="PT Astra Serif" w:hAnsi="PT Astra Serif"/>
          <w:b w:val="false"/>
          <w:bCs w:val="false"/>
          <w:i w:val="false"/>
          <w:iCs w:val="false"/>
          <w:caps w:val="false"/>
          <w:smallCaps w:val="false"/>
          <w:color w:val="000000"/>
          <w:sz w:val="28"/>
          <w:szCs w:val="28"/>
          <w:u w:val="none"/>
        </w:rPr>
        <w:t>недопущение доступа к оружию третьих лиц.</w:t>
      </w:r>
    </w:p>
    <w:p>
      <w:pPr>
        <w:pStyle w:val="Normal"/>
        <w:bidi w:val="0"/>
        <w:spacing w:lineRule="atLeast" w:line="11" w:before="0" w:after="0"/>
        <w:ind w:left="0" w:right="0" w:hanging="0"/>
        <w:contextualSpacing/>
        <w:jc w:val="both"/>
        <w:rPr/>
      </w:pPr>
      <w:r>
        <w:rPr>
          <w:rFonts w:ascii="PT Astra Serif" w:hAnsi="PT Astra Serif"/>
          <w:b w:val="false"/>
          <w:bCs w:val="false"/>
          <w:color w:val="000000"/>
          <w:sz w:val="28"/>
          <w:szCs w:val="28"/>
          <w:u w:val="none"/>
        </w:rPr>
        <w:t xml:space="preserve">Осуществлено </w:t>
      </w:r>
      <w:r>
        <w:rPr>
          <w:rFonts w:ascii="PT Astra Serif" w:hAnsi="PT Astra Serif"/>
          <w:b w:val="false"/>
          <w:bCs w:val="false"/>
          <w:color w:val="000000"/>
          <w:sz w:val="28"/>
          <w:szCs w:val="28"/>
          <w:u w:val="none"/>
        </w:rPr>
        <w:t>2003</w:t>
      </w:r>
      <w:r>
        <w:rPr>
          <w:rFonts w:ascii="PT Astra Serif" w:hAnsi="PT Astra Serif"/>
          <w:b w:val="false"/>
          <w:bCs w:val="false"/>
          <w:i w:val="false"/>
          <w:iCs w:val="false"/>
          <w:caps w:val="false"/>
          <w:smallCaps w:val="false"/>
          <w:color w:val="000000"/>
          <w:sz w:val="28"/>
          <w:szCs w:val="28"/>
          <w:u w:val="none"/>
        </w:rPr>
        <w:t xml:space="preserve"> </w:t>
      </w:r>
      <w:r>
        <w:rPr>
          <w:rFonts w:ascii="PT Astra Serif" w:hAnsi="PT Astra Serif"/>
          <w:b w:val="false"/>
          <w:bCs w:val="false"/>
          <w:color w:val="000000"/>
          <w:sz w:val="28"/>
          <w:szCs w:val="28"/>
          <w:u w:val="none"/>
        </w:rPr>
        <w:t xml:space="preserve">проверок условий сохранности оружия у граждан совместно проживающих с несовершеннолетними лицами, в рамках </w:t>
      </w:r>
      <w:r>
        <w:rPr>
          <w:rFonts w:ascii="PT Astra Serif" w:hAnsi="PT Astra Serif"/>
          <w:b w:val="false"/>
          <w:bCs w:val="false"/>
          <w:i w:val="false"/>
          <w:iCs w:val="false"/>
          <w:caps w:val="false"/>
          <w:smallCaps w:val="false"/>
          <w:color w:val="000000"/>
          <w:sz w:val="28"/>
          <w:szCs w:val="28"/>
          <w:u w:val="none"/>
        </w:rPr>
        <w:t>проведения которых</w:t>
      </w:r>
      <w:r>
        <w:rPr>
          <w:rFonts w:ascii="PT Astra Serif" w:hAnsi="PT Astra Serif"/>
          <w:b w:val="false"/>
          <w:bCs w:val="false"/>
          <w:color w:val="000000"/>
          <w:sz w:val="28"/>
          <w:szCs w:val="28"/>
          <w:u w:val="none"/>
        </w:rPr>
        <w:t xml:space="preserve"> выявлено 0 нарушений в сфере оборота оружия, к административной ответственности привлечено 0 граждан, изъято 0 ед. оружия.</w:t>
      </w:r>
    </w:p>
    <w:p>
      <w:pPr>
        <w:pStyle w:val="Normal"/>
        <w:bidi w:val="0"/>
        <w:spacing w:lineRule="atLeast" w:line="11" w:before="0" w:after="0"/>
        <w:ind w:left="0" w:right="0" w:hanging="0"/>
        <w:contextualSpacing/>
        <w:jc w:val="both"/>
        <w:rPr/>
      </w:pPr>
      <w:r>
        <w:rPr>
          <w:rFonts w:ascii="PT Astra Serif" w:hAnsi="PT Astra Serif"/>
          <w:b w:val="false"/>
          <w:bCs w:val="false"/>
          <w:i w:val="false"/>
          <w:iCs w:val="false"/>
          <w:caps w:val="false"/>
          <w:smallCaps w:val="false"/>
          <w:color w:val="000000"/>
          <w:sz w:val="28"/>
          <w:szCs w:val="28"/>
          <w:u w:val="none"/>
        </w:rPr>
        <w:t>В том числе, в</w:t>
      </w:r>
      <w:r>
        <w:rPr>
          <w:rFonts w:ascii="PT Astra Serif" w:hAnsi="PT Astra Serif"/>
          <w:b w:val="false"/>
          <w:bCs w:val="false"/>
          <w:color w:val="000000"/>
          <w:sz w:val="28"/>
          <w:szCs w:val="28"/>
          <w:u w:val="none"/>
        </w:rPr>
        <w:t xml:space="preserve"> связи с поступлени</w:t>
      </w:r>
      <w:r>
        <w:rPr>
          <w:rFonts w:ascii="PT Astra Serif" w:hAnsi="PT Astra Serif"/>
          <w:b w:val="false"/>
          <w:bCs w:val="false"/>
          <w:i w:val="false"/>
          <w:iCs w:val="false"/>
          <w:caps w:val="false"/>
          <w:smallCaps w:val="false"/>
          <w:color w:val="000000"/>
          <w:sz w:val="28"/>
          <w:szCs w:val="28"/>
          <w:u w:val="none"/>
        </w:rPr>
        <w:t>ем</w:t>
      </w:r>
      <w:r>
        <w:rPr>
          <w:rFonts w:ascii="PT Astra Serif" w:hAnsi="PT Astra Serif"/>
          <w:b w:val="false"/>
          <w:bCs w:val="false"/>
          <w:color w:val="000000"/>
          <w:sz w:val="28"/>
          <w:szCs w:val="28"/>
          <w:u w:val="none"/>
        </w:rPr>
        <w:t xml:space="preserve"> от </w:t>
      </w:r>
      <w:r>
        <w:rPr>
          <w:rFonts w:ascii="PT Astra Serif" w:hAnsi="PT Astra Serif"/>
          <w:b w:val="false"/>
          <w:bCs w:val="false"/>
          <w:i w:val="false"/>
          <w:iCs w:val="false"/>
          <w:caps w:val="false"/>
          <w:smallCaps w:val="false"/>
          <w:color w:val="000000"/>
          <w:sz w:val="28"/>
          <w:szCs w:val="28"/>
          <w:u w:val="none"/>
        </w:rPr>
        <w:t xml:space="preserve">ФОИВ и </w:t>
      </w:r>
      <w:r>
        <w:rPr>
          <w:rFonts w:ascii="PT Astra Serif" w:hAnsi="PT Astra Serif"/>
          <w:b w:val="false"/>
          <w:bCs w:val="false"/>
          <w:color w:val="000000"/>
          <w:sz w:val="28"/>
          <w:szCs w:val="28"/>
          <w:u w:val="none"/>
        </w:rPr>
        <w:t>иных заинтересованных органов (организаций) информации о дивиантном поведении подростков или возможных угроз безопасности детей осуществлено 0 проверки условий сохранности оружия граждан, выявлено 0 нарушений в сфере оборота оружия, к административной ответственности привлечено 0 граждан, изъято 0 ед. оружия8.</w:t>
      </w:r>
    </w:p>
    <w:p>
      <w:pPr>
        <w:pStyle w:val="Normal"/>
        <w:widowControl w:val="false"/>
        <w:tabs>
          <w:tab w:val="left" w:pos="709" w:leader="none"/>
        </w:tabs>
        <w:bidi w:val="0"/>
        <w:spacing w:lineRule="auto" w:line="240" w:before="0" w:after="0"/>
        <w:ind w:left="0" w:right="0" w:hanging="0"/>
        <w:jc w:val="both"/>
        <w:rPr>
          <w:rFonts w:ascii="PT Astra Serif" w:hAnsi="PT Astra Serif"/>
          <w:highlight w:val="yellow"/>
        </w:rPr>
      </w:pPr>
      <w:r>
        <w:rPr>
          <w:rFonts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u w:val="none"/>
        </w:rPr>
        <w:t xml:space="preserve">В рамках реализации мероприятий, по проверке наполнения регламентированными документами учетных дел граждан-владельцев оружия, а также  внесения  соответствующей информации в СЦУО Росгвардии, в </w:t>
      </w:r>
      <w:r>
        <w:rPr>
          <w:rFonts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u w:val="none"/>
        </w:rPr>
        <w:t xml:space="preserve">отчетном периоде проведен </w:t>
      </w:r>
      <w:r>
        <w:rPr>
          <w:rFonts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u w:val="none"/>
        </w:rPr>
        <w:t xml:space="preserve"> анализ</w:t>
      </w:r>
      <w:r>
        <w:rPr>
          <w:rFonts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u w:val="none"/>
        </w:rPr>
        <w:t xml:space="preserve"> </w:t>
      </w:r>
      <w:r>
        <w:rPr>
          <w:rFonts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u w:val="none"/>
        </w:rPr>
        <w:t>14039</w:t>
      </w:r>
      <w:r>
        <w:rPr>
          <w:rFonts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u w:val="none"/>
        </w:rPr>
        <w:t xml:space="preserve"> </w:t>
      </w:r>
      <w:r>
        <w:rPr>
          <w:rFonts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u w:val="none"/>
        </w:rPr>
        <w:t>учетных дел и электронных карточек СЦУО Росгвардии, выявлен</w:t>
      </w:r>
      <w:r>
        <w:rPr>
          <w:rFonts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u w:val="none"/>
        </w:rPr>
        <w:t>о</w:t>
      </w:r>
      <w:r>
        <w:rPr>
          <w:rFonts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u w:val="none"/>
        </w:rPr>
        <w:t xml:space="preserve"> </w:t>
      </w:r>
      <w:r>
        <w:rPr>
          <w:rFonts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u w:val="none"/>
        </w:rPr>
        <w:t>1709</w:t>
      </w:r>
      <w:r>
        <w:rPr>
          <w:rFonts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u w:val="none"/>
        </w:rPr>
        <w:t xml:space="preserve"> факт</w:t>
      </w:r>
      <w:r>
        <w:rPr>
          <w:rFonts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u w:val="none"/>
        </w:rPr>
        <w:t>ов</w:t>
      </w:r>
      <w:r>
        <w:rPr>
          <w:rFonts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u w:val="none"/>
        </w:rPr>
        <w:t xml:space="preserve"> ненадлежащего формирования учетных дел или внесения информации в СЦУО Росгвардии, меры по урегулированию выявленных нарушений приняты в полном объеме.</w:t>
      </w:r>
    </w:p>
    <w:p>
      <w:pPr>
        <w:pStyle w:val="Normal"/>
        <w:widowControl w:val="false"/>
        <w:suppressAutoHyphens w:val="true"/>
        <w:bidi w:val="0"/>
        <w:spacing w:lineRule="atLeast" w:line="11" w:before="0" w:after="0"/>
        <w:ind w:left="0" w:right="0" w:hanging="0"/>
        <w:contextualSpacing/>
        <w:jc w:val="both"/>
        <w:rPr>
          <w:rFonts w:ascii="PT Astra Serif" w:hAnsi="PT Astra Serif"/>
          <w:color w:val="auto"/>
          <w:highlight w:val="yellow"/>
        </w:rPr>
      </w:pP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 xml:space="preserve">В ЧОО работают 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>10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>47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 xml:space="preserve"> человек, имеющие удостоверение частного охранника, ими обеспечивается охрана 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>3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>145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 xml:space="preserve"> 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>объект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>ов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 xml:space="preserve"> различных форм собственности.</w:t>
      </w:r>
    </w:p>
    <w:p>
      <w:pPr>
        <w:pStyle w:val="Normal"/>
        <w:widowControl w:val="false"/>
        <w:suppressAutoHyphens w:val="true"/>
        <w:bidi w:val="0"/>
        <w:spacing w:lineRule="atLeast" w:line="11" w:before="0" w:after="0"/>
        <w:ind w:left="0" w:right="0" w:hanging="0"/>
        <w:contextualSpacing/>
        <w:jc w:val="both"/>
        <w:rPr>
          <w:rFonts w:ascii="PT Astra Serif" w:hAnsi="PT Astra Serif"/>
          <w:color w:val="auto"/>
        </w:rPr>
      </w:pP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 xml:space="preserve">В целях осуществления контроля за соблюдением законодательства об оружии в ЧОО за отчетный период на территории субъекта Российской Федерации сотрудниками подразделений ЛРР проведено 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>32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 xml:space="preserve"> провер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>ки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>, по итогам которых выя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 xml:space="preserve">влено 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>9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 xml:space="preserve"> нарушен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>ий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>, составлен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>о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 xml:space="preserve"> 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>4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 xml:space="preserve"> адм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>инистративны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>х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 xml:space="preserve"> протокол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 xml:space="preserve">а 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 xml:space="preserve"> в отношении 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>юридических и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 xml:space="preserve"> должностн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>ых</w:t>
      </w: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 xml:space="preserve"> лиц.</w:t>
      </w:r>
    </w:p>
    <w:p>
      <w:pPr>
        <w:pStyle w:val="Normal"/>
        <w:widowControl w:val="false"/>
        <w:suppressAutoHyphens w:val="true"/>
        <w:bidi w:val="0"/>
        <w:spacing w:lineRule="atLeast" w:line="11" w:before="0" w:after="0"/>
        <w:ind w:left="0" w:right="0" w:hanging="0"/>
        <w:contextualSpacing/>
        <w:jc w:val="both"/>
        <w:rPr>
          <w:rFonts w:ascii="PT Astra Serif" w:hAnsi="PT Astra Serif" w:eastAsia="Times New Roman" w:cs="Times New Roman"/>
          <w:color w:val="000000"/>
          <w:spacing w:val="0"/>
          <w:sz w:val="28"/>
          <w:szCs w:val="28"/>
        </w:rPr>
      </w:pPr>
      <w:r>
        <w:rPr>
          <w:rFonts w:eastAsia="Times New Roman" w:cs="Times New Roman" w:ascii="PT Astra Serif" w:hAnsi="PT Astra Serif"/>
          <w:color w:val="000000"/>
          <w:spacing w:val="0"/>
          <w:sz w:val="28"/>
          <w:szCs w:val="28"/>
        </w:rPr>
        <w:t>На территории Новгородской области зарегистрировано 5 организации, имеющие лицензии на осуществление хранения и торговлю оружием, основными частями огнестрельного оружия и патронами к нему.</w:t>
      </w:r>
    </w:p>
    <w:p>
      <w:pPr>
        <w:pStyle w:val="Normal"/>
        <w:widowControl w:val="false"/>
        <w:suppressAutoHyphens w:val="true"/>
        <w:bidi w:val="0"/>
        <w:spacing w:lineRule="atLeast" w:line="11" w:before="0" w:after="0"/>
        <w:ind w:left="0" w:right="0" w:hanging="0"/>
        <w:contextualSpacing/>
        <w:jc w:val="both"/>
        <w:rPr>
          <w:color w:val="000000"/>
        </w:rPr>
      </w:pPr>
      <w:r>
        <w:rPr>
          <w:rFonts w:eastAsia="Calibri" w:cs="Calibri" w:ascii="PT Astra Serif" w:hAnsi="PT Astra Serif"/>
          <w:color w:val="000000"/>
          <w:spacing w:val="0"/>
          <w:sz w:val="28"/>
          <w:szCs w:val="28"/>
        </w:rPr>
        <w:t xml:space="preserve">Анализ статистических сведений показывает, что </w:t>
      </w:r>
      <w:r>
        <w:rPr>
          <w:rFonts w:eastAsia="Calibri" w:cs="Calibri" w:ascii="PT Astra Serif" w:hAnsi="PT Astra Serif"/>
          <w:color w:val="000000"/>
          <w:spacing w:val="0"/>
          <w:sz w:val="28"/>
          <w:szCs w:val="28"/>
        </w:rPr>
        <w:t>за 12 месяцев</w:t>
      </w:r>
      <w:r>
        <w:rPr>
          <w:rFonts w:eastAsia="Calibri" w:cs="Calibri" w:ascii="PT Astra Serif" w:hAnsi="PT Astra Serif"/>
          <w:color w:val="000000"/>
          <w:spacing w:val="0"/>
          <w:sz w:val="28"/>
          <w:szCs w:val="28"/>
        </w:rPr>
        <w:t xml:space="preserve">  2025 года в подразделения ЛРР поступило </w:t>
      </w:r>
      <w:r>
        <w:rPr>
          <w:rFonts w:eastAsia="Calibri" w:cs="Calibri" w:ascii="PT Astra Serif" w:hAnsi="PT Astra Serif"/>
          <w:color w:val="000000"/>
          <w:spacing w:val="0"/>
          <w:sz w:val="28"/>
          <w:szCs w:val="28"/>
        </w:rPr>
        <w:t>8935</w:t>
      </w:r>
      <w:r>
        <w:rPr>
          <w:rFonts w:eastAsia="Calibri" w:cs="Calibri" w:ascii="PT Astra Serif" w:hAnsi="PT Astra Serif"/>
          <w:color w:val="000000"/>
          <w:spacing w:val="0"/>
          <w:sz w:val="28"/>
          <w:szCs w:val="28"/>
        </w:rPr>
        <w:t xml:space="preserve"> заявлений на предоставление государственных услуг в области оборота оружия, частной детективной (сыскной) и охранной деятельности, из которых </w:t>
      </w:r>
      <w:r>
        <w:rPr>
          <w:rFonts w:eastAsia="Calibri" w:cs="Calibri" w:ascii="PT Astra Serif" w:hAnsi="PT Astra Serif"/>
          <w:color w:val="000000"/>
          <w:spacing w:val="0"/>
          <w:sz w:val="28"/>
          <w:szCs w:val="28"/>
        </w:rPr>
        <w:t>8908</w:t>
      </w:r>
      <w:r>
        <w:rPr>
          <w:rFonts w:eastAsia="Calibri" w:cs="Calibri" w:ascii="PT Astra Serif" w:hAnsi="PT Astra Serif"/>
          <w:color w:val="000000"/>
          <w:spacing w:val="0"/>
          <w:sz w:val="28"/>
          <w:szCs w:val="28"/>
        </w:rPr>
        <w:t xml:space="preserve"> заявление поступило из федеральной государственной информационной системы «Единый портал государственных и муниципальных услуг», что составляет 99% при плановом показателе не менее 70%.</w:t>
      </w:r>
    </w:p>
    <w:p>
      <w:pPr>
        <w:pStyle w:val="Normal"/>
        <w:widowControl w:val="false"/>
        <w:suppressAutoHyphens w:val="true"/>
        <w:bidi w:val="0"/>
        <w:spacing w:lineRule="atLeast" w:line="11" w:before="0" w:after="0"/>
        <w:ind w:left="0" w:right="0" w:hanging="0"/>
        <w:contextualSpacing/>
        <w:jc w:val="right"/>
        <w:rPr>
          <w:rFonts w:ascii="Times New Roman" w:hAnsi="Times New Roman" w:eastAsia="Times New Roman" w:cs="Times New Roman"/>
          <w:color w:val="C9211E"/>
          <w:spacing w:val="0"/>
          <w:sz w:val="28"/>
        </w:rPr>
      </w:pPr>
      <w:r>
        <w:rPr>
          <w:rFonts w:eastAsia="Times New Roman" w:cs="Times New Roman" w:ascii="Times New Roman" w:hAnsi="Times New Roman"/>
          <w:color w:val="C9211E"/>
          <w:spacing w:val="0"/>
          <w:sz w:val="28"/>
        </w:rPr>
      </w:r>
    </w:p>
    <w:p>
      <w:pPr>
        <w:pStyle w:val="Normal"/>
        <w:widowControl w:val="false"/>
        <w:suppressAutoHyphens w:val="true"/>
        <w:bidi w:val="0"/>
        <w:spacing w:lineRule="auto" w:line="240" w:before="0" w:after="0"/>
        <w:ind w:left="0" w:right="0" w:hanging="0"/>
        <w:jc w:val="right"/>
        <w:rPr>
          <w:rFonts w:ascii="Times New Roman" w:hAnsi="Times New Roman" w:eastAsia="Times New Roman" w:cs="Times New Roman"/>
          <w:b/>
          <w:b/>
          <w:color w:val="000000"/>
          <w:spacing w:val="0"/>
          <w:sz w:val="28"/>
        </w:rPr>
      </w:pPr>
      <w:r>
        <w:rPr>
          <w:rFonts w:eastAsia="Times New Roman" w:cs="Times New Roman" w:ascii="Times New Roman" w:hAnsi="Times New Roman"/>
          <w:b/>
          <w:color w:val="000000"/>
          <w:spacing w:val="0"/>
          <w:sz w:val="28"/>
        </w:rPr>
        <w:t>ЦЛРР Управления Росгвардии по Новгородской области</w:t>
      </w:r>
    </w:p>
    <w:sectPr>
      <w:footnotePr>
        <w:numFmt w:val="decimal"/>
      </w:footnotePr>
      <w:type w:val="nextPage"/>
      <w:pgSz w:w="12240" w:h="15840"/>
      <w:pgMar w:left="1440" w:right="1440" w:header="0" w:top="1440" w:footer="0" w:bottom="1440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PT Astra Serif">
    <w:charset w:val="01"/>
    <w:family w:val="roman"/>
    <w:pitch w:val="variable"/>
  </w:font>
  <w:font w:name="Times New Roman">
    <w:charset w:val="01"/>
    <w:family w:val="roman"/>
    <w:pitch w:val="default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Style23"/>
        <w:suppressLineNumbers/>
        <w:bidi w:val="0"/>
        <w:ind w:left="339" w:right="0" w:hanging="339"/>
        <w:jc w:val="left"/>
        <w:rPr/>
      </w:pPr>
      <w:r>
        <w:rPr>
          <w:rStyle w:val="Style15"/>
        </w:rPr>
        <w:footnoteRef/>
      </w:r>
      <w:r>
        <w:rPr/>
        <w:tab/>
        <w:t xml:space="preserve"> </w:t>
      </w:r>
      <w:r>
        <w:rPr/>
        <w:t>Далее – «ЧОО»</w:t>
      </w:r>
    </w:p>
  </w:footnote>
</w:footnotes>
</file>

<file path=word/settings.xml><?xml version="1.0" encoding="utf-8"?>
<w:settings xmlns:w="http://schemas.openxmlformats.org/wordprocessingml/2006/main">
  <w:zoom w:percent="120"/>
  <w:defaultTabStop w:val="709"/>
  <w:autoHyphenation w:val="true"/>
  <w:footnotePr>
    <w:numFmt w:val="decimal"/>
    <w:footnote w:id="0"/>
    <w:footnote w:id="1"/>
  </w:footnotePr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kinsoku w:val="true"/>
      <w:overflowPunct w:val="true"/>
      <w:autoSpaceDE w:val="true"/>
      <w:bidi w:val="0"/>
      <w:spacing w:before="0" w:after="0"/>
      <w:jc w:val="left"/>
    </w:pPr>
    <w:rPr>
      <w:rFonts w:ascii="Calibri" w:hAnsi="Calibri" w:eastAsia="Tahoma" w:cs="Noto Sans Devanagari"/>
      <w:color w:val="auto"/>
      <w:kern w:val="2"/>
      <w:sz w:val="22"/>
      <w:szCs w:val="24"/>
      <w:lang w:val="ru-RU" w:eastAsia="zh-CN" w:bidi="hi-IN"/>
    </w:rPr>
  </w:style>
  <w:style w:type="character" w:styleId="Style14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5">
    <w:name w:val="Символ сноски"/>
    <w:qFormat/>
    <w:rPr/>
  </w:style>
  <w:style w:type="character" w:styleId="Style16">
    <w:name w:val="Привязка концевой сноски"/>
    <w:rPr>
      <w:vertAlign w:val="superscript"/>
    </w:rPr>
  </w:style>
  <w:style w:type="character" w:styleId="EndnoteCharacters">
    <w:name w:val="Endnote Characters"/>
    <w:qFormat/>
    <w:rPr>
      <w:vertAlign w:val="superscript"/>
    </w:rPr>
  </w:style>
  <w:style w:type="character" w:styleId="Style17">
    <w:name w:val="Символ концевой сноски"/>
    <w:qFormat/>
    <w:rPr/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9">
    <w:name w:val="Body Text"/>
    <w:basedOn w:val="Normal"/>
    <w:pPr>
      <w:spacing w:lineRule="auto" w:line="276" w:before="0" w:after="140"/>
    </w:pPr>
    <w:rPr/>
  </w:style>
  <w:style w:type="paragraph" w:styleId="Style20">
    <w:name w:val="List"/>
    <w:basedOn w:val="Style19"/>
    <w:pPr/>
    <w:rPr>
      <w:rFonts w:ascii="PT Astra Serif" w:hAnsi="PT Astra Serif" w:cs="Noto Sans Devanagari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23">
    <w:name w:val="Footnote Text"/>
    <w:basedOn w:val="Normal"/>
    <w:pPr>
      <w:suppressLineNumbers/>
      <w:ind w:left="339" w:right="0" w:hanging="339"/>
    </w:pPr>
    <w:rPr>
      <w:sz w:val="20"/>
      <w:szCs w:val="20"/>
    </w:rPr>
  </w:style>
  <w:style w:type="paragraph" w:styleId="BodyTextIndent">
    <w:name w:val="Body Text Indent"/>
    <w:basedOn w:val="Normal"/>
    <w:qFormat/>
    <w:pPr>
      <w:ind w:left="0" w:right="0" w:firstLine="709"/>
      <w:jc w:val="both"/>
    </w:pPr>
    <w:rPr/>
  </w:style>
  <w:style w:type="paragraph" w:styleId="Style24">
    <w:name w:val="Body Text First Indent"/>
    <w:basedOn w:val="Normal"/>
    <w:pPr>
      <w:ind w:left="0" w:right="0" w:firstLine="709"/>
      <w:jc w:val="both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notes" Target="footnotes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99</TotalTime>
  <Application>LibreOffice/6.4.7.2$Linux_X86_64 LibreOffice_project/40$Build-2</Application>
  <Pages>2</Pages>
  <Words>591</Words>
  <Characters>4080</Characters>
  <CharactersWithSpaces>4669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dcterms:modified xsi:type="dcterms:W3CDTF">2026-01-15T15:29:25Z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</Properties>
</file>